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104"/>
      </w:tblGrid>
      <w:tr w:rsidR="00C567EB" w:rsidRPr="00C567EB" w:rsidTr="00C567EB">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C567EB" w:rsidRPr="00C567EB">
              <w:trPr>
                <w:trHeight w:val="317"/>
                <w:jc w:val="center"/>
              </w:trPr>
              <w:tc>
                <w:tcPr>
                  <w:tcW w:w="2931" w:type="dxa"/>
                  <w:tcBorders>
                    <w:top w:val="nil"/>
                    <w:left w:val="nil"/>
                    <w:bottom w:val="single" w:sz="4" w:space="0" w:color="660066"/>
                    <w:right w:val="nil"/>
                  </w:tcBorders>
                  <w:vAlign w:val="center"/>
                  <w:hideMark/>
                </w:tcPr>
                <w:p w:rsidR="00C567EB" w:rsidRPr="00C567EB" w:rsidRDefault="00C567EB" w:rsidP="00910296">
                  <w:pPr>
                    <w:tabs>
                      <w:tab w:val="left" w:pos="567"/>
                      <w:tab w:val="center" w:pos="994"/>
                      <w:tab w:val="center" w:pos="3543"/>
                      <w:tab w:val="right" w:pos="6520"/>
                    </w:tabs>
                    <w:spacing w:before="120" w:after="0" w:line="240" w:lineRule="auto"/>
                    <w:rPr>
                      <w:rFonts w:ascii="Times New Roman" w:eastAsia="Times New Roman" w:hAnsi="Times New Roman" w:cs="Times New Roman"/>
                      <w:sz w:val="24"/>
                      <w:szCs w:val="24"/>
                      <w:lang w:eastAsia="tr-TR"/>
                    </w:rPr>
                  </w:pPr>
                  <w:r w:rsidRPr="00C567EB">
                    <w:rPr>
                      <w:rFonts w:ascii="Arial" w:eastAsia="Times New Roman" w:hAnsi="Arial" w:cs="Arial"/>
                      <w:sz w:val="16"/>
                      <w:szCs w:val="16"/>
                      <w:lang w:eastAsia="tr-TR"/>
                    </w:rPr>
                    <w:t>18 Mayıs 2017 PERŞEMBE</w:t>
                  </w:r>
                </w:p>
              </w:tc>
              <w:tc>
                <w:tcPr>
                  <w:tcW w:w="2931" w:type="dxa"/>
                  <w:tcBorders>
                    <w:top w:val="nil"/>
                    <w:left w:val="nil"/>
                    <w:bottom w:val="single" w:sz="4" w:space="0" w:color="660066"/>
                    <w:right w:val="nil"/>
                  </w:tcBorders>
                  <w:vAlign w:val="center"/>
                  <w:hideMark/>
                </w:tcPr>
                <w:p w:rsidR="00C567EB" w:rsidRPr="00C567EB" w:rsidRDefault="00C567EB" w:rsidP="00910296">
                  <w:pPr>
                    <w:tabs>
                      <w:tab w:val="left" w:pos="567"/>
                      <w:tab w:val="center" w:pos="994"/>
                      <w:tab w:val="center" w:pos="3543"/>
                      <w:tab w:val="right" w:pos="6520"/>
                    </w:tabs>
                    <w:spacing w:before="120" w:after="0" w:line="240" w:lineRule="auto"/>
                    <w:jc w:val="center"/>
                    <w:rPr>
                      <w:rFonts w:ascii="Times New Roman" w:eastAsia="Times New Roman" w:hAnsi="Times New Roman" w:cs="Times New Roman"/>
                      <w:sz w:val="24"/>
                      <w:szCs w:val="24"/>
                      <w:lang w:eastAsia="tr-TR"/>
                    </w:rPr>
                  </w:pPr>
                  <w:r w:rsidRPr="00C567EB">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C567EB" w:rsidRPr="00C567EB" w:rsidRDefault="00C567EB" w:rsidP="00910296">
                  <w:pPr>
                    <w:spacing w:before="120" w:after="0" w:line="240" w:lineRule="auto"/>
                    <w:jc w:val="right"/>
                    <w:rPr>
                      <w:rFonts w:ascii="Times New Roman" w:eastAsia="Times New Roman" w:hAnsi="Times New Roman" w:cs="Times New Roman"/>
                      <w:sz w:val="24"/>
                      <w:szCs w:val="24"/>
                      <w:lang w:eastAsia="tr-TR"/>
                    </w:rPr>
                  </w:pPr>
                  <w:r w:rsidRPr="00C567EB">
                    <w:rPr>
                      <w:rFonts w:ascii="Arial" w:eastAsia="Times New Roman" w:hAnsi="Arial" w:cs="Arial"/>
                      <w:sz w:val="16"/>
                      <w:szCs w:val="16"/>
                      <w:lang w:eastAsia="tr-TR"/>
                    </w:rPr>
                    <w:t>Sayı : 30070</w:t>
                  </w:r>
                </w:p>
              </w:tc>
            </w:tr>
            <w:tr w:rsidR="00C567EB" w:rsidRPr="00C567EB">
              <w:trPr>
                <w:trHeight w:val="480"/>
                <w:jc w:val="center"/>
              </w:trPr>
              <w:tc>
                <w:tcPr>
                  <w:tcW w:w="8789" w:type="dxa"/>
                  <w:gridSpan w:val="3"/>
                  <w:vAlign w:val="center"/>
                  <w:hideMark/>
                </w:tcPr>
                <w:p w:rsidR="00C567EB" w:rsidRPr="00C567EB" w:rsidRDefault="00C567EB" w:rsidP="00910296">
                  <w:pPr>
                    <w:spacing w:before="120" w:after="0" w:line="240" w:lineRule="auto"/>
                    <w:jc w:val="center"/>
                    <w:rPr>
                      <w:rFonts w:ascii="Times New Roman" w:eastAsia="Times New Roman" w:hAnsi="Times New Roman" w:cs="Times New Roman"/>
                      <w:sz w:val="24"/>
                      <w:szCs w:val="24"/>
                      <w:lang w:eastAsia="tr-TR"/>
                    </w:rPr>
                  </w:pPr>
                  <w:r w:rsidRPr="00C567EB">
                    <w:rPr>
                      <w:rFonts w:ascii="Arial" w:eastAsia="Times New Roman" w:hAnsi="Arial" w:cs="Arial"/>
                      <w:b/>
                      <w:color w:val="000080"/>
                      <w:sz w:val="18"/>
                      <w:szCs w:val="18"/>
                      <w:lang w:eastAsia="tr-TR"/>
                    </w:rPr>
                    <w:t>YÖNETMELİK</w:t>
                  </w:r>
                </w:p>
              </w:tc>
            </w:tr>
            <w:tr w:rsidR="00C567EB" w:rsidRPr="00C567EB">
              <w:trPr>
                <w:trHeight w:val="480"/>
                <w:jc w:val="center"/>
              </w:trPr>
              <w:tc>
                <w:tcPr>
                  <w:tcW w:w="8789" w:type="dxa"/>
                  <w:gridSpan w:val="3"/>
                  <w:vAlign w:val="center"/>
                  <w:hideMark/>
                </w:tcPr>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sz w:val="18"/>
                      <w:szCs w:val="18"/>
                      <w:lang w:eastAsia="tr-TR"/>
                    </w:rPr>
                    <w:t>Türk Patent ve Marka Kurumundan:</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sz w:val="18"/>
                      <w:szCs w:val="18"/>
                      <w:lang w:eastAsia="tr-TR"/>
                    </w:rPr>
                    <w:t>TÜRK PATENT VE MARKA KURUMU PATENT VEKİLLERİ VE MARKA</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sz w:val="18"/>
                      <w:szCs w:val="18"/>
                      <w:lang w:eastAsia="tr-TR"/>
                    </w:rPr>
                    <w:t>VEK</w:t>
                  </w:r>
                  <w:bookmarkStart w:id="0" w:name="_GoBack"/>
                  <w:bookmarkEnd w:id="0"/>
                  <w:r w:rsidRPr="00910296">
                    <w:rPr>
                      <w:rFonts w:ascii="Times New Roman" w:eastAsia="Times New Roman" w:hAnsi="Times New Roman" w:cs="Times New Roman"/>
                      <w:sz w:val="18"/>
                      <w:szCs w:val="18"/>
                      <w:lang w:eastAsia="tr-TR"/>
                    </w:rPr>
                    <w:t>İLLERİ MESLEK KURALLARI VE DİSİPLİN YÖNETMELİĞİ</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sz w:val="18"/>
                      <w:szCs w:val="18"/>
                      <w:lang w:eastAsia="tr-TR"/>
                    </w:rPr>
                    <w:t> BİRİNCİ BÖLÜM</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sz w:val="18"/>
                      <w:szCs w:val="18"/>
                      <w:lang w:eastAsia="tr-TR"/>
                    </w:rPr>
                    <w:t>Amaç, Kapsam, Dayanak ve Tanımlar</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b/>
                      <w:sz w:val="18"/>
                      <w:szCs w:val="18"/>
                      <w:lang w:eastAsia="tr-TR"/>
                    </w:rPr>
                    <w:t>Amaç</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b/>
                      <w:sz w:val="18"/>
                      <w:szCs w:val="18"/>
                      <w:lang w:eastAsia="tr-TR"/>
                    </w:rPr>
                    <w:t xml:space="preserve">MADDE 1 – </w:t>
                  </w:r>
                  <w:r w:rsidRPr="00910296">
                    <w:rPr>
                      <w:rFonts w:ascii="Times New Roman" w:eastAsia="Times New Roman" w:hAnsi="Times New Roman" w:cs="Times New Roman"/>
                      <w:sz w:val="18"/>
                      <w:szCs w:val="18"/>
                      <w:lang w:eastAsia="tr-TR"/>
                    </w:rPr>
                    <w:t>(1) Bu Yönetmeliğin amacı, sınai mülkiyet hakları ve geleneksel ürün adları ile ilgili danışmanlık yapma ve Türk Patent ve Marka Kurumu nezdinde başvuru sahipleri adına işlem yapma yetkisinde olan patent vekilleri ve marka vekillerinin meslek kurallarına, Patent ve Marka Vekilleri Disiplin Kuruluna, disiplin cezasını gerektirir fiillerin tespitinde izlenecek yönteme ve disiplin konusundaki diğer hususlara ilişkin usul ve esasları düzenlemektir.</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b/>
                      <w:sz w:val="18"/>
                      <w:szCs w:val="18"/>
                      <w:lang w:eastAsia="tr-TR"/>
                    </w:rPr>
                    <w:t>Kapsam</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b/>
                      <w:sz w:val="18"/>
                      <w:szCs w:val="18"/>
                      <w:lang w:eastAsia="tr-TR"/>
                    </w:rPr>
                    <w:t>MADDE 2 –</w:t>
                  </w:r>
                  <w:r w:rsidRPr="00910296">
                    <w:rPr>
                      <w:rFonts w:ascii="Times New Roman" w:eastAsia="Times New Roman" w:hAnsi="Times New Roman" w:cs="Times New Roman"/>
                      <w:sz w:val="18"/>
                      <w:szCs w:val="18"/>
                      <w:lang w:eastAsia="tr-TR"/>
                    </w:rPr>
                    <w:t xml:space="preserve"> (1) Bu Yönetmelik hükümleri, sınai mülkiyet hakları ve geleneksel ürün adları ile ilgili danışmanlık yapma ve Türk Patent ve Marka Kurumu nezdinde başvuru sahipleri adına işlem yapma yetkisinde olan patent vekilleri ve marka vekilleri hakkında uygulanır.</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b/>
                      <w:sz w:val="18"/>
                      <w:szCs w:val="18"/>
                      <w:lang w:eastAsia="tr-TR"/>
                    </w:rPr>
                    <w:t>Dayanak</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b/>
                      <w:sz w:val="18"/>
                      <w:szCs w:val="18"/>
                      <w:lang w:eastAsia="tr-TR"/>
                    </w:rPr>
                    <w:t>MADDE 3 –</w:t>
                  </w:r>
                  <w:r w:rsidRPr="00910296">
                    <w:rPr>
                      <w:rFonts w:ascii="Times New Roman" w:eastAsia="Times New Roman" w:hAnsi="Times New Roman" w:cs="Times New Roman"/>
                      <w:sz w:val="18"/>
                      <w:szCs w:val="18"/>
                      <w:lang w:eastAsia="tr-TR"/>
                    </w:rPr>
                    <w:t xml:space="preserve"> (1) Bu Yönetmelik, 6/11/2003 tarihli ve 5000 sayılı Türk Patent ve Marka Kurumu Kuruluş ve Görevleri Hakkında Kanunun 30 ve 30/A maddelerine dayanılarak hazırlanmıştır.</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b/>
                      <w:sz w:val="18"/>
                      <w:szCs w:val="18"/>
                      <w:lang w:eastAsia="tr-TR"/>
                    </w:rPr>
                    <w:t>Tanımlar</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b/>
                      <w:sz w:val="18"/>
                      <w:szCs w:val="18"/>
                      <w:lang w:eastAsia="tr-TR"/>
                    </w:rPr>
                    <w:t>MADDE 4 –</w:t>
                  </w:r>
                  <w:r w:rsidRPr="00910296">
                    <w:rPr>
                      <w:rFonts w:ascii="Times New Roman" w:eastAsia="Times New Roman" w:hAnsi="Times New Roman" w:cs="Times New Roman"/>
                      <w:sz w:val="18"/>
                      <w:szCs w:val="18"/>
                      <w:lang w:eastAsia="tr-TR"/>
                    </w:rPr>
                    <w:t xml:space="preserve"> (1) Bu Yönetmelikte geçen;</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sz w:val="18"/>
                      <w:szCs w:val="18"/>
                      <w:lang w:eastAsia="tr-TR"/>
                    </w:rPr>
                    <w:t>a) Disiplin Kurulu: Patent ve Marka Vekilleri Disiplin Kurulunu,</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sz w:val="18"/>
                      <w:szCs w:val="18"/>
                      <w:lang w:eastAsia="tr-TR"/>
                    </w:rPr>
                    <w:t>b) Kanun: 6/11/2003 tarihli ve 5000 sayılı Türk Patent ve Marka Kurumu Kuruluş ve Görevleri Hakkında Kanunu,</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sz w:val="18"/>
                      <w:szCs w:val="18"/>
                      <w:lang w:eastAsia="tr-TR"/>
                    </w:rPr>
                    <w:t>c) Kurum: Türk Patent ve Marka Kurumunu,</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sz w:val="18"/>
                      <w:szCs w:val="18"/>
                      <w:lang w:eastAsia="tr-TR"/>
                    </w:rPr>
                    <w:t>ç) Marka vekili: Marka, coğrafi işaret, geleneksel ürün adı ve tasarım konularında danışmanlık yapma ve bu konularda Kurum nezdinde başvuru sahipleri adına işlem yapma yetkisinde olan gerçek veya tüzel kişileri,</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sz w:val="18"/>
                      <w:szCs w:val="18"/>
                      <w:lang w:eastAsia="tr-TR"/>
                    </w:rPr>
                    <w:t>d) Patent vekili: Patent, faydalı model, tasarım ve entegre devre topoğrafyaları konularında danışmanlık yapma ve bu konularda Kurum nezdinde başvuru sahipleri adına işlem yapma yetkisinde olan gerçek veya tüzel kişileri,</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sz w:val="18"/>
                      <w:szCs w:val="18"/>
                      <w:lang w:eastAsia="tr-TR"/>
                    </w:rPr>
                    <w:t>e) Sicil: Kurum tarafından, patent vekilleri ve marka vekilleri için ayrı ayrı tutulan Patent Vekilleri Sicili ve Marka Vekilleri Sicilini,</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sz w:val="18"/>
                      <w:szCs w:val="18"/>
                      <w:lang w:eastAsia="tr-TR"/>
                    </w:rPr>
                    <w:t>f) Tüzel kişi vekil: İşletme konusunun patent vekilliği veya marka vekilliği faaliyetini kapsadığı, gerçek kişi vekil veya vekiller tarafından temsil edilen, Türkiye Cumhuriyeti kanunlarına göre kurulmuş limited veya anonim şirketi,</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sz w:val="18"/>
                      <w:szCs w:val="18"/>
                      <w:lang w:eastAsia="tr-TR"/>
                    </w:rPr>
                    <w:t>g) Vekil: Patent vekili veya marka vekili olan gerçek veya tüzel kişileri,</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sz w:val="18"/>
                      <w:szCs w:val="18"/>
                      <w:lang w:eastAsia="tr-TR"/>
                    </w:rPr>
                    <w:t>ğ) Yönetim Kurulu: Türk Patent ve Marka Kurumu Yönetim Kurulunu,</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sz w:val="18"/>
                      <w:szCs w:val="18"/>
                      <w:lang w:eastAsia="tr-TR"/>
                    </w:rPr>
                    <w:t>ifade eder.</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sz w:val="18"/>
                      <w:szCs w:val="18"/>
                      <w:lang w:eastAsia="tr-TR"/>
                    </w:rPr>
                    <w:t>İKİNCİ BÖLÜM</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sz w:val="18"/>
                      <w:szCs w:val="18"/>
                      <w:lang w:eastAsia="tr-TR"/>
                    </w:rPr>
                    <w:t>Vekillik Meslek Kuralları</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b/>
                      <w:sz w:val="18"/>
                      <w:szCs w:val="18"/>
                      <w:lang w:eastAsia="tr-TR"/>
                    </w:rPr>
                    <w:t>Vekillik meslek kuralları</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b/>
                      <w:sz w:val="18"/>
                      <w:szCs w:val="18"/>
                      <w:lang w:eastAsia="tr-TR"/>
                    </w:rPr>
                    <w:t xml:space="preserve">MADDE 5 – </w:t>
                  </w:r>
                  <w:r w:rsidRPr="00910296">
                    <w:rPr>
                      <w:rFonts w:ascii="Times New Roman" w:eastAsia="Times New Roman" w:hAnsi="Times New Roman" w:cs="Times New Roman"/>
                      <w:sz w:val="18"/>
                      <w:szCs w:val="18"/>
                      <w:lang w:eastAsia="tr-TR"/>
                    </w:rPr>
                    <w:t>(1) Vekillik meslek kuralları aşağıda sayılmıştır:</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sz w:val="18"/>
                      <w:szCs w:val="18"/>
                      <w:lang w:eastAsia="tr-TR"/>
                    </w:rPr>
                    <w:t>a) Vekil mesleğin itibarını zedeleyecek her türlü tutum ve davranıştan kaçınmak zorunda olup görevini kötüye kullanamaz.</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sz w:val="18"/>
                      <w:szCs w:val="18"/>
                      <w:lang w:eastAsia="tr-TR"/>
                    </w:rPr>
                    <w:t>b) Vekil, iş sahiplerine güvenilir bir vekil olarak hizmet sunmak, müvekkillerinin çıkarları doğrultusunda, objektif bir şekilde, kendi kişisel duygularını ya da çıkarlarını gözetmeksizin bağımsız bir vekil olarak davranmak zorundadır.</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sz w:val="18"/>
                      <w:szCs w:val="18"/>
                      <w:lang w:eastAsia="tr-TR"/>
                    </w:rPr>
                    <w:t>c) Vekil, zamanının ve yeteneklerinin yetmediğini baştan bildiği bir işi kabul edemez.</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sz w:val="18"/>
                      <w:szCs w:val="18"/>
                      <w:lang w:eastAsia="tr-TR"/>
                    </w:rPr>
                    <w:t>ç) Vekil, herhangi bir talep olmaksızın salt kendine iş sağlamak amacıyla, muhtemel müvekkillere saldırgan bir pazarlama yöntemiyle yaklaşamaz.</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sz w:val="18"/>
                      <w:szCs w:val="18"/>
                      <w:lang w:eastAsia="tr-TR"/>
                    </w:rPr>
                    <w:lastRenderedPageBreak/>
                    <w:t>d) Vekil, işyerinde, yazışmalarda ve tanıtım araçlarında ya da başka herhangi bir yerde kamuyu yanıltacak bilgilere yer veremez.</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sz w:val="18"/>
                      <w:szCs w:val="18"/>
                      <w:lang w:eastAsia="tr-TR"/>
                    </w:rPr>
                    <w:t>e) Özel mevzuat hükümleri saklı kalmak kaydıyla vekil, gerçek ve tarafsız olması, dürüstlük ile meslek sırrına uygunluk gibi temel ilkelere uyumlu olması koşuluyla genel olarak reklam yapma hakkına sahiptir. Ancak, müvekkilinin açıkça izni olmaksızın kimliğini açıklamak, kurumların açıkça izni olmaksızın adını ve logosunu kullanmak, müvekkilinin talimatı dışında sınai mülkiyet haklarının alım satımını veya pazarlığını yapmak, meslektaşlarıyla haksız rekabete yol açacak şekilde, internet kullanıcılarını kendi sitesine veya kendi sitesinden bir başka siteye yönlendirecek internet kısa yollarını kullanmak reklam hakkının kapsamı dışındadır.</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sz w:val="18"/>
                      <w:szCs w:val="18"/>
                      <w:lang w:eastAsia="tr-TR"/>
                    </w:rPr>
                    <w:t>f) Vekil, mevzuatın öngördüğü veya müvekkilinin bilmesi gereken konularda müvekkilini zamanında, tam ve doğru bir şekilde bilgilendirmek zorundadır.</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sz w:val="18"/>
                      <w:szCs w:val="18"/>
                      <w:lang w:eastAsia="tr-TR"/>
                    </w:rPr>
                    <w:t>g) Vekil, geçici bir süre için dahi olsa mesleğini ifa edemez hale geldiği takdirde veya verdiği hizmetleri geri çekmek istemesi halinde müvekkillerini derhal bilgilendirmek ve müvekkillerinin çıkarlarını koruyacak şekilde önlemler almak zorundadır.</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sz w:val="18"/>
                      <w:szCs w:val="18"/>
                      <w:lang w:eastAsia="tr-TR"/>
                    </w:rPr>
                    <w:t>ğ) Vekil, gerek kendisine tevdi edilen görevleri gerekse başka şekilde öğrenmiş olduğu müvekkile ilişkin bilgileri açıklamamakla ve sır saklamakla yükümlüdür. Vekilin bu sorumluluğu vekâlet ilişkisi sona erdikten sonra da devam eder. Vekilin bu sorumluluğu, müvekkiline karşı olduğu gibi temsil etmediği halde kendisine bilgi vermiş olan kişilere karşı da bulunmaktadır.</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sz w:val="18"/>
                      <w:szCs w:val="18"/>
                      <w:lang w:eastAsia="tr-TR"/>
                    </w:rPr>
                    <w:t>h) Vekil, kendi hizmeti karşılığı dışında müvekkilinden herhangi bir ücret talep edemez.</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sz w:val="18"/>
                      <w:szCs w:val="18"/>
                      <w:lang w:eastAsia="tr-TR"/>
                    </w:rPr>
                    <w:t>ı) Vekil, müvekkiline yüklendiği iş ile ilgili görüşünü açıklayabilir. Ancak iş veya işlemin sonucuna yönelik hiçbir taahhütte bulunamaz.</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sz w:val="18"/>
                      <w:szCs w:val="18"/>
                      <w:lang w:eastAsia="tr-TR"/>
                    </w:rPr>
                    <w:t>i) Vekil, her türlü iş ilişkisinde meslek dayanışmasına ve onuruna uymayan davranışlardan kaçınmak zorundadır.</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sz w:val="18"/>
                      <w:szCs w:val="18"/>
                      <w:lang w:eastAsia="tr-TR"/>
                    </w:rPr>
                    <w:t>j) Hiçbir vekil, bir meslektaşı hakkında küçük düşürücü nitelikte açıklama yapamaz.</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sz w:val="18"/>
                      <w:szCs w:val="18"/>
                      <w:lang w:eastAsia="tr-TR"/>
                    </w:rPr>
                    <w:t>k) Hiçbir vekil, bir meslektaşının mesleki tutum ve davranışları hakkındaki düşüncesini kamuoyuna açıklayamaz. Bu konudaki şikayetlerin mercii yalnız Kurumdur.</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sz w:val="18"/>
                      <w:szCs w:val="18"/>
                      <w:lang w:eastAsia="tr-TR"/>
                    </w:rPr>
                    <w:t>l) Vekil, hali hazırda başka bir vekil tarafından ele alındığını bildiği veya bilmesi gerektiği belli bir dosya hakkında, dosya sahibinin bağımsız bir görüş alma veya vekilini değiştirme isteğini açıkça beyan etmiş olması dışında, dosya sahibiyle görüş alışverişinde bulunamaz.</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sz w:val="18"/>
                      <w:szCs w:val="18"/>
                      <w:lang w:eastAsia="tr-TR"/>
                    </w:rPr>
                    <w:t>m) Vekil ile takip edilen bir dosyada, başka bir vekilin dosyanın takibi konusunda bir talimat alması halinde, yeni vekil dosyanın takibiyle görevli halihazırdaki vekile yazı ile bilgi verir. Halihazırdaki vekil ise dosyanın takibi için gerekli tüm belgeleri gecikmeden yeni vekile iletir.</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sz w:val="18"/>
                      <w:szCs w:val="18"/>
                      <w:lang w:eastAsia="tr-TR"/>
                    </w:rPr>
                    <w:t>n) Vekil, sınai mülkiyet konularında uzmanlaşacak olan bir çalışanının doğru ve uygun eğitilmesi görevini üstlenmek zorundadır.</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sz w:val="18"/>
                      <w:szCs w:val="18"/>
                      <w:lang w:eastAsia="tr-TR"/>
                    </w:rPr>
                    <w:t>o) Vekil, Kurum çalışanları ile olan ilişkilerinde meslek onuruna ve nezaket kurallarına uygun tutum ve davranışlarda bulunmak zorundadır.</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sz w:val="18"/>
                      <w:szCs w:val="18"/>
                      <w:lang w:eastAsia="tr-TR"/>
                    </w:rPr>
                    <w:t>ö) Vekil, Kurum adına yazılı veya sözlü hiçbir açıklamada bulunamaz.</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sz w:val="18"/>
                      <w:szCs w:val="18"/>
                      <w:lang w:eastAsia="tr-TR"/>
                    </w:rPr>
                    <w:t>p) Gerçek kişi vekil, birden fazla tüzel kişi vekilin ortağı veya çalışanı olsa dahi vekillik yetkisini sadece tek bir tüzel kişi vekili temsilen kullanabilir. Vekillik yetkisini bu şekilde kullananlar, gerçek kişi vekil olarak vekillik yapamaz.</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sz w:val="18"/>
                      <w:szCs w:val="18"/>
                      <w:lang w:eastAsia="tr-TR"/>
                    </w:rPr>
                    <w:t>(2) Vekilin meslek kurallarını bildiği kabul edilir. Hiçbir vekil, vekillik meslek kuralları hakkında bilgisi olmadığını mazeret olarak ileri süremez ve meslek kurallarının ihlalini müvekkilden aldığı talimatlara atıfta bulunarak haklı gösteremez.</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sz w:val="18"/>
                      <w:szCs w:val="18"/>
                      <w:lang w:eastAsia="tr-TR"/>
                    </w:rPr>
                    <w:t>(3) Vekil, yanında çalışanların da birinci fıkrada sayılan meslek kurallarına uyması konusunda gerekli tedbirleri almak zorundadır. Bu konuda gerekli tedbirlerin alınmaması vekilin meslek kurallarını ihlali olarak kabul edilir.</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sz w:val="18"/>
                      <w:szCs w:val="18"/>
                      <w:lang w:eastAsia="tr-TR"/>
                    </w:rPr>
                    <w:t>ÜÇÜNCÜ BÖLÜM</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sz w:val="18"/>
                      <w:szCs w:val="18"/>
                      <w:lang w:eastAsia="tr-TR"/>
                    </w:rPr>
                    <w:t>Disiplin</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b/>
                      <w:sz w:val="18"/>
                      <w:szCs w:val="18"/>
                      <w:lang w:eastAsia="tr-TR"/>
                    </w:rPr>
                    <w:t>Disiplin cezaları ve ceza uygulanacak fiiller</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b/>
                      <w:sz w:val="18"/>
                      <w:szCs w:val="18"/>
                      <w:lang w:eastAsia="tr-TR"/>
                    </w:rPr>
                    <w:t>MADDE 6 –</w:t>
                  </w:r>
                  <w:r w:rsidRPr="00910296">
                    <w:rPr>
                      <w:rFonts w:ascii="Times New Roman" w:eastAsia="Times New Roman" w:hAnsi="Times New Roman" w:cs="Times New Roman"/>
                      <w:sz w:val="18"/>
                      <w:szCs w:val="18"/>
                      <w:lang w:eastAsia="tr-TR"/>
                    </w:rPr>
                    <w:t xml:space="preserve"> (1) Bu Yönetmeliğin 5 inci maddesinde sayılan vekillik meslek kurallarına uymayan tutum ve davranışlarda bulunanlar ile vekilliğin gerektirdiği görevleri yapmayanlar hakkında uygulanacak disiplin cezaları aşağıda belirtilmiştir:</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sz w:val="18"/>
                      <w:szCs w:val="18"/>
                      <w:lang w:eastAsia="tr-TR"/>
                    </w:rPr>
                    <w:t>a) Uyarma: Vekilliğin icrasında ve mesleki tutum ve davranışlarda daha dikkatli davranılması gerektiğinin yazı ile bildirilmesidir. Meslek kurallarına uymayan tutum ve davranışta bulunan vekiller hakkında uyarma cezası uygulanır.</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sz w:val="18"/>
                      <w:szCs w:val="18"/>
                      <w:lang w:eastAsia="tr-TR"/>
                    </w:rPr>
                    <w:t xml:space="preserve">b) Kınama: Vekilliğin icrasında ve mesleki tutum ve davranışlarda kusurlu olunduğunun yazı ile bildirilmesidir. Uyarma cezası alıp da iki yıl içinde aynı cezayı gerektiren fiilde bulunan veya vekilliğin gerektirdiği yükümlülükleri yerine getirmeyen veya Kurum nezdinde yürütülen herhangi bir işlemde menfaati zıt olan taraflara vekillik edenler </w:t>
                  </w:r>
                  <w:r w:rsidRPr="00910296">
                    <w:rPr>
                      <w:rFonts w:ascii="Times New Roman" w:eastAsia="Times New Roman" w:hAnsi="Times New Roman" w:cs="Times New Roman"/>
                      <w:sz w:val="18"/>
                      <w:szCs w:val="18"/>
                      <w:lang w:eastAsia="tr-TR"/>
                    </w:rPr>
                    <w:lastRenderedPageBreak/>
                    <w:t>hakkında kınama cezası uygulanır.</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sz w:val="18"/>
                      <w:szCs w:val="18"/>
                      <w:lang w:eastAsia="tr-TR"/>
                    </w:rPr>
                    <w:t>c) Geçici olarak vekillik faaliyetinden alıkoyma: Üç aydan az ve bir yıldan çok olmamak üzere vekillik faaliyetinden yasaklanmadır. Kınama cezası alıp da beş yıl içinde aynı cezayı gerektiren fiilde bulunan veya vekâletname aslına aykırı örnek ile vekillik hak ve yetkilerini kullanan veya Kuruma ait unvan, internet alan adı ya da diğer tanıtma vasıtalarını iltibasa meydan verecek şekilde kullanan vekiller hakkında geçici olarak vekillik faaliyetinden alıkoyma cezası uygulanır.</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sz w:val="18"/>
                      <w:szCs w:val="18"/>
                      <w:lang w:eastAsia="tr-TR"/>
                    </w:rPr>
                    <w:t>ç) Vekillikten çıkarma: Vekillik faaliyetinden süresiz olarak yasaklanmadır. Geçici olarak vekillik faaliyetinden alıkoyma cezası alıp da beş yıl içinde aynı cezayı gerektiren fiilde bulunanlar hakkında vekillikten çıkarma cezası uygulanır. Kesinleşmiş bir disiplin kararı sonucunda patent vekilliğinden veya marka vekilliğinden çıkarılanlar bir daha patent vekili veya marka vekili olamaz.</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sz w:val="18"/>
                      <w:szCs w:val="18"/>
                      <w:lang w:eastAsia="tr-TR"/>
                    </w:rPr>
                    <w:t>(2) Bir vekilin aynı ya da farklı fiillerine ilişkin olarak birden çok şikâyetin bulunması durumunda, bunlar birleştirilebilir, ancak her bir şikâyet ayrı ayrı karara bağlanır.</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sz w:val="18"/>
                      <w:szCs w:val="18"/>
                      <w:lang w:eastAsia="tr-TR"/>
                    </w:rPr>
                    <w:t>(3) Disiplin Kurulunun aldığı kararlar Kurum internet sitesinde yayınlanabilir, şikâyet eden veya edilenin kimlik bilgilerinin açıklanması hususunda ilgili tarafın açık rızası aranır.</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b/>
                      <w:sz w:val="18"/>
                      <w:szCs w:val="18"/>
                      <w:lang w:eastAsia="tr-TR"/>
                    </w:rPr>
                    <w:t>Disiplin Kurulu</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b/>
                      <w:sz w:val="18"/>
                      <w:szCs w:val="18"/>
                      <w:lang w:eastAsia="tr-TR"/>
                    </w:rPr>
                    <w:t>MADDE 7 –</w:t>
                  </w:r>
                  <w:r w:rsidRPr="00910296">
                    <w:rPr>
                      <w:rFonts w:ascii="Times New Roman" w:eastAsia="Times New Roman" w:hAnsi="Times New Roman" w:cs="Times New Roman"/>
                      <w:sz w:val="18"/>
                      <w:szCs w:val="18"/>
                      <w:lang w:eastAsia="tr-TR"/>
                    </w:rPr>
                    <w:t xml:space="preserve"> (1) Disiplin Kurulu; Bilim, Sanayi ve Teknoloji Bakanlığından bir üye, Kurumdan üç üye ile mesleğini en az beş yıl bilfiil icra eden ve Disiplin Kurulunca verilen bir kararla Kanunun 30/A maddesinin ikinci fıkrasında belirtilen cezalardan birini almamış olan patent vekillerinden veya marka vekillerinden üç üye olmak üzere toplam yedi kişiden oluşur. Aynı sayıda ve aynı esasla yedek üye belirlenir. Tüm üyeler Bilim, Sanayi ve Teknoloji Bakanı tarafından üç yıl için atanır. Kurum Başkanı, patent vekilleri veya marka vekilleri arasından seçilecek üyeleri Bakanlığa önerirken en fazla üyeye sahip iki ticaret odası ile en fazla üyesi bulunan vekillikle ilgili iki dernekten görüş alır.</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sz w:val="18"/>
                      <w:szCs w:val="18"/>
                      <w:lang w:eastAsia="tr-TR"/>
                    </w:rPr>
                    <w:t>(2) Üyeler kendi aralarından bir başkan ve bir başkan yardımcısı seçer. Başkan yardımcısı başkanın bulunmadığı zamanlarda Disiplin Kuruluna başkanlık eder. Disiplin Kurulu, Kuruma yapılan şikâyetleri değerlendirmek üzere en az dört üyenin hazır bulunmasıyla toplanır. Kararlar toplantıya katılanların çoğunluğu ile verilir. Oylarda eşitlik halinde başkanın bulunduğu taraf üstün sayılır. Süresi dolan üye yeniden seçilebilir. Süresi dolmadan üyelikten ayrılan üyelerin yerlerine yedek üyeler getirilir.</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sz w:val="18"/>
                      <w:szCs w:val="18"/>
                      <w:lang w:eastAsia="tr-TR"/>
                    </w:rPr>
                    <w:t>(3) Disiplin Kurulu üyelerinden biri hakkında Kanunun 30 uncu maddesinin ikinci fıkrasının (d) bendinde belirtilen bir suçtan dolayı kamu davası açılmışsa dava sonuna kadar bu üye toplantılara katılamaz ve yerine yedek üye getirilir.</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sz w:val="18"/>
                      <w:szCs w:val="18"/>
                      <w:lang w:eastAsia="tr-TR"/>
                    </w:rPr>
                    <w:t>(4) Geçerli bir mazereti nedeniyle toplantıya katılamayacak üyenin, toplantı tarihinden önce mazeretini bildirmesi gerekir. Toplantıya katılmayan üye vekaleten temsil edilemez. Mazereti olmaksızın üst üste iki toplantıya katılmayan veya seçilme yeterliğini kaybeden üyenin üyeliği sona erer ve yerine yedek üye getirilir.</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sz w:val="18"/>
                      <w:szCs w:val="18"/>
                      <w:lang w:eastAsia="tr-TR"/>
                    </w:rPr>
                    <w:t>(5) Kurumu temsil eden yedek üyeler ile marka ve patent vekillerini temsil eden yedek üyeler, kendi içinde ve sıralı şekilde gruplandırılır. Asil üyenin bu maddenin üçüncü fıkrası veya 8 inci madde uyarınca toplantıya katılamaması durumunda, bu üyenin yerine aynı gruptaki birinci yedek üye toplantıya çağrılır. Birinci yedek üyenin bu çağrıdan itibaren yedi gün içinde toplantıya katılamayacak olduğunu bildirmesi veya hiçbir bildirimde bulunmaması halinde, sırasıyla diğer yedek üyelerin toplantıya çağrılması aynı usul ve esasla yapılır. Asil üyenin üyeliğinin sona ermesi durumunda, bu üyenin yerine aynı gruptaki birinci yedek üye Disiplin Kurulunda görev almak üzere çağrılır. Birinci yedek üyenin bu çağrıdan itibaren yedi gün içinde Disiplin Kurulunda görev alamayacak olduğunu bildirmesi veya hiçbir bildirimde bulunmaması halinde, sırasıyla diğer yedek üyelere çağrı aynı usul ve esasla yapılır. Bakanlığı temsil eden asil üyenin bu maddenin üçüncü fıkrası veya 8 inci madde uyarınca toplantıya katılamaması durumunda Bakanlığı temsil eden yedek üye toplantıya çağrılır. Bakanlığı temsil eden asil üyenin üyeliğinin sona ermesi durumunda, bu üyenin yerine Bakanlığı temsil eden yedek üye Disiplin Kurulunda görev almak üzere çağrılır.</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sz w:val="18"/>
                      <w:szCs w:val="18"/>
                      <w:lang w:eastAsia="tr-TR"/>
                    </w:rPr>
                    <w:t>(6) Disiplin Kurulunun sekretarya hizmetleri Kurum tarafından yürütülür.</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b/>
                      <w:sz w:val="18"/>
                      <w:szCs w:val="18"/>
                      <w:lang w:eastAsia="tr-TR"/>
                    </w:rPr>
                    <w:t>Disiplin Kurulu üyelerinin toplantılara katılamayacağı durumlar</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b/>
                      <w:sz w:val="18"/>
                      <w:szCs w:val="18"/>
                      <w:lang w:eastAsia="tr-TR"/>
                    </w:rPr>
                    <w:t>MADDE 8 –</w:t>
                  </w:r>
                  <w:r w:rsidRPr="00910296">
                    <w:rPr>
                      <w:rFonts w:ascii="Times New Roman" w:eastAsia="Times New Roman" w:hAnsi="Times New Roman" w:cs="Times New Roman"/>
                      <w:sz w:val="18"/>
                      <w:szCs w:val="18"/>
                      <w:lang w:eastAsia="tr-TR"/>
                    </w:rPr>
                    <w:t xml:space="preserve"> (1) Disiplin Kurulu üyesi, soruşturma konusunun, şikâyetçinin veya soruşturulanın kendisiyle, boşanmış olsa dahi eşiyle, üçüncü dereceye kadar, bu derece dâhil, kan ve kayın hısmıyla veya ekonomik ya da yönetsel ilişki içinde olduğu biriyle ilgili olması halinde ilgili konunun görüşüldüğü toplantıya katılamaz ve yerine yedek üye çağrılır.</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b/>
                      <w:sz w:val="18"/>
                      <w:szCs w:val="18"/>
                      <w:lang w:eastAsia="tr-TR"/>
                    </w:rPr>
                    <w:t>Şikâyet ve soruşturma</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b/>
                      <w:sz w:val="18"/>
                      <w:szCs w:val="18"/>
                      <w:lang w:eastAsia="tr-TR"/>
                    </w:rPr>
                    <w:t xml:space="preserve">MADDE 9 – </w:t>
                  </w:r>
                  <w:r w:rsidRPr="00910296">
                    <w:rPr>
                      <w:rFonts w:ascii="Times New Roman" w:eastAsia="Times New Roman" w:hAnsi="Times New Roman" w:cs="Times New Roman"/>
                      <w:sz w:val="18"/>
                      <w:szCs w:val="18"/>
                      <w:lang w:eastAsia="tr-TR"/>
                    </w:rPr>
                    <w:t>(1) Bu Yönetmelik kapsamında vekiller hakkındaki şikâyetler, şikâyet eden ve edilenin kimlik bilgileri belirtilerek, şikâyet gerekçeleri ve delilleriyle birlikte yazılı ve imzalı olarak Kuruma yapılır. Disiplin Kurulu, şikâyetin Kuruma yapıldığı tarihten itibaren otuz gün içinde öncelikle şikâyet ile ilgili bir disiplin soruşturması açılmasına yer olup olmadığına karar verir.</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sz w:val="18"/>
                      <w:szCs w:val="18"/>
                      <w:lang w:eastAsia="tr-TR"/>
                    </w:rPr>
                    <w:t>(2) Disiplin soruşturması açılmasına yer olmadığına karar verildiği takdirde gerekçeli karar, karar tarihinden itibaren bir hafta içinde şikâyetçiye gönderilir.</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sz w:val="18"/>
                      <w:szCs w:val="18"/>
                      <w:lang w:eastAsia="tr-TR"/>
                    </w:rPr>
                    <w:t xml:space="preserve">(3) Disiplin soruşturması açılmasına karar verildiği takdirde, şikâyet dilekçesi ile ekleri karar tarihinden itibaren bir </w:t>
                  </w:r>
                  <w:r w:rsidRPr="00910296">
                    <w:rPr>
                      <w:rFonts w:ascii="Times New Roman" w:eastAsia="Times New Roman" w:hAnsi="Times New Roman" w:cs="Times New Roman"/>
                      <w:sz w:val="18"/>
                      <w:szCs w:val="18"/>
                      <w:lang w:eastAsia="tr-TR"/>
                    </w:rPr>
                    <w:lastRenderedPageBreak/>
                    <w:t>hafta içinde hakkında şikâyet yapılan vekile gönderilir ve savunma yapabilmesini teminen tebliğ tarihinden itibaren yedi günden az olmamak üzere süre verilir. Bu süre içinde savunmasını yapmayan vekil, savunma hakkından vazgeçmiş sayılır. Disiplin Kurulu, gerekli gördüğü takdirde şikâyet ile ilgili tanıkları dinlemek ve taraflardan ek bilgi ve belge istemek suretiyle şikâyetin Kuruma yapıldığı tarihten itibaren en geç altı ay içinde nihai kararını verir.</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sz w:val="18"/>
                      <w:szCs w:val="18"/>
                      <w:lang w:eastAsia="tr-TR"/>
                    </w:rPr>
                    <w:t>(4) Aynı olaydan dolayı vekil hakkında hukuk mahkemesinde devam eden bir dava olması veya soruşturmaya ya da kovuşturmaya başlanmış olması, disiplin soruşturmasını geciktirmez. Vekile ceza mahkemesi tarafından bir ceza verilmesi veya verilmemesi hali, ayrıca disiplin cezası verilmesine engel olmaz.</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sz w:val="18"/>
                      <w:szCs w:val="18"/>
                      <w:lang w:eastAsia="tr-TR"/>
                    </w:rPr>
                    <w:t>(5) 6 ncı maddenin birinci fıkrası kapsamındaki cezaların soruşturmanın tamamlandığı günden itibaren otuz gün içinde verilmesi zorunludur. Disiplin Kurulunca 6 ncı maddenin birinci fıkrasının (a) ve (b) bentleri uyarınca verilen cezalar gecikmeksizin, (c) ve (ç) bentleri uyarınca verilen cezalar ise aynı gün Kuruma bildirilir ve Sicile işlenir. Disiplin Kurulunun nihai kararı, taraflara gecikmeksizin tebliğ edilir.</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sz w:val="18"/>
                      <w:szCs w:val="18"/>
                      <w:lang w:eastAsia="tr-TR"/>
                    </w:rPr>
                    <w:t>(6) Disiplin cezaları verildiği tarihten itibaren hüküm ifade eder. Disiplin Kurulu kararlarına karşı idari yargıya başvurulabilir. Açılan davalarda husumet Kuruma yöneltilir.</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b/>
                      <w:sz w:val="18"/>
                      <w:szCs w:val="18"/>
                      <w:lang w:eastAsia="tr-TR"/>
                    </w:rPr>
                    <w:t>Zamanaşımı</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b/>
                      <w:sz w:val="18"/>
                      <w:szCs w:val="18"/>
                      <w:lang w:eastAsia="tr-TR"/>
                    </w:rPr>
                    <w:t xml:space="preserve">MADDE 10 – </w:t>
                  </w:r>
                  <w:r w:rsidRPr="00910296">
                    <w:rPr>
                      <w:rFonts w:ascii="Times New Roman" w:eastAsia="Times New Roman" w:hAnsi="Times New Roman" w:cs="Times New Roman"/>
                      <w:sz w:val="18"/>
                      <w:szCs w:val="18"/>
                      <w:lang w:eastAsia="tr-TR"/>
                    </w:rPr>
                    <w:t>(1) 6 ncı maddenin birinci fıkrasında sayılan fiil ve halleri işleyenler hakkında bu fiil ve hallerin işlendiğinin öğrenildiği andan itibaren üç ay içinde soruşturmaya başlanmadığı, her halde cezayı gerektiren fiil ve hallerin işlendiği tarihten itibaren iki yıl içinde disiplin cezası verilmediği takdirde disiplin cezası verme yetkisi zamanaşımına uğrar.</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sz w:val="18"/>
                      <w:szCs w:val="18"/>
                      <w:lang w:eastAsia="tr-TR"/>
                    </w:rPr>
                    <w:t>DÖRDÜNCÜ BÖLÜM</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sz w:val="18"/>
                      <w:szCs w:val="18"/>
                      <w:lang w:eastAsia="tr-TR"/>
                    </w:rPr>
                    <w:t>Son Hükümler</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b/>
                      <w:sz w:val="18"/>
                      <w:szCs w:val="18"/>
                      <w:lang w:eastAsia="tr-TR"/>
                    </w:rPr>
                    <w:t>Yürürlük</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b/>
                      <w:sz w:val="18"/>
                      <w:szCs w:val="18"/>
                      <w:lang w:eastAsia="tr-TR"/>
                    </w:rPr>
                    <w:t>MADDE 11 –</w:t>
                  </w:r>
                  <w:r w:rsidRPr="00910296">
                    <w:rPr>
                      <w:rFonts w:ascii="Times New Roman" w:eastAsia="Times New Roman" w:hAnsi="Times New Roman" w:cs="Times New Roman"/>
                      <w:sz w:val="18"/>
                      <w:szCs w:val="18"/>
                      <w:lang w:eastAsia="tr-TR"/>
                    </w:rPr>
                    <w:t xml:space="preserve"> (1) Bu Yönetmelik 10/1/2017 tarihinden geçerli olmak üzere yayımı tarihinde yürürlüğe girer.</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b/>
                      <w:sz w:val="18"/>
                      <w:szCs w:val="18"/>
                      <w:lang w:eastAsia="tr-TR"/>
                    </w:rPr>
                    <w:t>Yürütme</w:t>
                  </w:r>
                </w:p>
                <w:p w:rsidR="00C567EB" w:rsidRPr="00910296" w:rsidRDefault="00C567EB" w:rsidP="00910296">
                  <w:pPr>
                    <w:spacing w:before="120" w:after="0" w:line="240" w:lineRule="auto"/>
                    <w:rPr>
                      <w:rFonts w:ascii="Times New Roman" w:eastAsia="Times New Roman" w:hAnsi="Times New Roman" w:cs="Times New Roman"/>
                      <w:sz w:val="24"/>
                      <w:szCs w:val="24"/>
                      <w:lang w:eastAsia="tr-TR"/>
                    </w:rPr>
                  </w:pPr>
                  <w:r w:rsidRPr="00910296">
                    <w:rPr>
                      <w:rFonts w:ascii="Times New Roman" w:eastAsia="Times New Roman" w:hAnsi="Times New Roman" w:cs="Times New Roman"/>
                      <w:b/>
                      <w:sz w:val="18"/>
                      <w:szCs w:val="18"/>
                      <w:lang w:eastAsia="tr-TR"/>
                    </w:rPr>
                    <w:t>MADDE 12 –</w:t>
                  </w:r>
                  <w:r w:rsidRPr="00910296">
                    <w:rPr>
                      <w:rFonts w:ascii="Times New Roman" w:eastAsia="Times New Roman" w:hAnsi="Times New Roman" w:cs="Times New Roman"/>
                      <w:sz w:val="18"/>
                      <w:szCs w:val="18"/>
                      <w:lang w:eastAsia="tr-TR"/>
                    </w:rPr>
                    <w:t xml:space="preserve"> (1) Bu Yönetmelik hükümlerini Türk Patent ve Marka Kurumu Başkanı yürütür.</w:t>
                  </w:r>
                </w:p>
                <w:p w:rsidR="00C567EB" w:rsidRPr="00910296" w:rsidRDefault="00C567EB" w:rsidP="00910296">
                  <w:pPr>
                    <w:spacing w:before="120" w:after="0" w:line="240" w:lineRule="auto"/>
                    <w:jc w:val="center"/>
                    <w:rPr>
                      <w:rFonts w:ascii="Times New Roman" w:eastAsia="Times New Roman" w:hAnsi="Times New Roman" w:cs="Times New Roman"/>
                      <w:sz w:val="24"/>
                      <w:szCs w:val="24"/>
                      <w:lang w:eastAsia="tr-TR"/>
                    </w:rPr>
                  </w:pPr>
                  <w:r w:rsidRPr="00910296">
                    <w:rPr>
                      <w:rFonts w:ascii="Arial" w:eastAsia="Times New Roman" w:hAnsi="Arial" w:cs="Arial"/>
                      <w:b/>
                      <w:color w:val="000080"/>
                      <w:sz w:val="18"/>
                      <w:szCs w:val="18"/>
                      <w:lang w:eastAsia="tr-TR"/>
                    </w:rPr>
                    <w:t> </w:t>
                  </w:r>
                </w:p>
              </w:tc>
            </w:tr>
          </w:tbl>
          <w:p w:rsidR="00C567EB" w:rsidRPr="00C567EB" w:rsidRDefault="00C567EB" w:rsidP="00910296">
            <w:pPr>
              <w:spacing w:before="120" w:after="0" w:line="240" w:lineRule="auto"/>
              <w:rPr>
                <w:rFonts w:ascii="Times New Roman" w:eastAsia="Times New Roman" w:hAnsi="Times New Roman" w:cs="Times New Roman"/>
                <w:sz w:val="24"/>
                <w:szCs w:val="24"/>
                <w:lang w:eastAsia="tr-TR"/>
              </w:rPr>
            </w:pPr>
          </w:p>
        </w:tc>
      </w:tr>
    </w:tbl>
    <w:p w:rsidR="00C567EB" w:rsidRPr="00C567EB" w:rsidRDefault="00C567EB" w:rsidP="00910296">
      <w:pPr>
        <w:spacing w:before="120" w:after="0" w:line="240" w:lineRule="auto"/>
        <w:jc w:val="center"/>
        <w:rPr>
          <w:rFonts w:ascii="Times New Roman" w:eastAsia="Times New Roman" w:hAnsi="Times New Roman" w:cs="Times New Roman"/>
          <w:sz w:val="24"/>
          <w:szCs w:val="24"/>
          <w:lang w:eastAsia="tr-TR"/>
        </w:rPr>
      </w:pPr>
      <w:r w:rsidRPr="00C567EB">
        <w:rPr>
          <w:rFonts w:ascii="Times New Roman" w:eastAsia="Times New Roman" w:hAnsi="Times New Roman" w:cs="Times New Roman"/>
          <w:sz w:val="24"/>
          <w:szCs w:val="24"/>
          <w:lang w:eastAsia="tr-TR"/>
        </w:rPr>
        <w:lastRenderedPageBreak/>
        <w:t> </w:t>
      </w:r>
    </w:p>
    <w:p w:rsidR="00186927" w:rsidRDefault="00910296" w:rsidP="00910296">
      <w:pPr>
        <w:spacing w:before="120" w:after="0" w:line="240" w:lineRule="auto"/>
      </w:pPr>
    </w:p>
    <w:sectPr w:rsidR="001869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093"/>
    <w:rsid w:val="00910296"/>
    <w:rsid w:val="00C567EB"/>
    <w:rsid w:val="00D31677"/>
    <w:rsid w:val="00DD5600"/>
    <w:rsid w:val="00EF0093"/>
    <w:rsid w:val="00F36F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CE40ED-F379-45AA-B0EE-6796EE255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67E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C567E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C567E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C567E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C56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7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78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4</Pages>
  <Words>2266</Words>
  <Characters>12919</Characters>
  <Application>Microsoft Office Word</Application>
  <DocSecurity>0</DocSecurity>
  <Lines>107</Lines>
  <Paragraphs>30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Belgin Sağdıç</dc:creator>
  <cp:keywords/>
  <dc:description/>
  <cp:lastModifiedBy>Ugur G. YALÇINER</cp:lastModifiedBy>
  <cp:revision>5</cp:revision>
  <cp:lastPrinted>2017-05-18T06:35:00Z</cp:lastPrinted>
  <dcterms:created xsi:type="dcterms:W3CDTF">2017-05-18T06:34:00Z</dcterms:created>
  <dcterms:modified xsi:type="dcterms:W3CDTF">2017-05-28T12:16:00Z</dcterms:modified>
</cp:coreProperties>
</file>